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0"/>
          <w:szCs w:val="30"/>
          <w:lang w:val="en-US" w:eastAsia="zh-CN"/>
        </w:rPr>
      </w:pPr>
      <w:r>
        <w:rPr>
          <w:rFonts w:hint="eastAsia" w:ascii="仿宋" w:hAnsi="仿宋" w:eastAsia="仿宋" w:cs="Times New Roman"/>
          <w:b/>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center"/>
        <w:textAlignment w:val="auto"/>
        <w:rPr>
          <w:rFonts w:hint="eastAsia" w:ascii="仿宋" w:hAnsi="仿宋" w:eastAsia="仿宋" w:cs="Times New Roman"/>
          <w:b/>
          <w:bCs/>
          <w:sz w:val="30"/>
          <w:szCs w:val="30"/>
          <w:lang w:val="en-US" w:eastAsia="zh-CN"/>
        </w:rPr>
      </w:pPr>
      <w:r>
        <w:rPr>
          <w:rFonts w:hint="eastAsia" w:ascii="仿宋" w:hAnsi="仿宋" w:eastAsia="仿宋" w:cs="Times New Roman"/>
          <w:b/>
          <w:bCs/>
          <w:sz w:val="30"/>
          <w:szCs w:val="30"/>
          <w:lang w:val="en-US" w:eastAsia="zh-CN"/>
        </w:rPr>
        <w:t>南宁中心血站采血车基本情况及需求</w:t>
      </w:r>
    </w:p>
    <w:tbl>
      <w:tblPr>
        <w:tblStyle w:val="4"/>
        <w:tblpPr w:leftFromText="180" w:rightFromText="180" w:vertAnchor="text" w:horzAnchor="page" w:tblpX="1466" w:tblpY="173"/>
        <w:tblOverlap w:val="never"/>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125"/>
        <w:gridCol w:w="900"/>
        <w:gridCol w:w="1111"/>
        <w:gridCol w:w="1301"/>
        <w:gridCol w:w="2667"/>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序号</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项目名称</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单位</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计划采购数量</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采购预算</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需求</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8"/>
                <w:szCs w:val="28"/>
                <w:vertAlign w:val="baseline"/>
                <w:lang w:val="en-US" w:eastAsia="zh-CN"/>
              </w:rPr>
            </w:pPr>
            <w:r>
              <w:rPr>
                <w:rFonts w:hint="eastAsia" w:ascii="仿宋" w:hAnsi="仿宋" w:eastAsia="仿宋" w:cs="Times New Roman"/>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6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Times New Roman"/>
                <w:b/>
                <w:bCs/>
                <w:sz w:val="21"/>
                <w:szCs w:val="21"/>
                <w:vertAlign w:val="baseline"/>
                <w:lang w:val="en-US" w:eastAsia="zh-CN"/>
              </w:rPr>
            </w:pPr>
            <w:r>
              <w:rPr>
                <w:rFonts w:hint="eastAsia" w:ascii="仿宋" w:hAnsi="仿宋" w:eastAsia="仿宋" w:cs="Times New Roman"/>
                <w:b/>
                <w:bCs/>
                <w:sz w:val="21"/>
                <w:szCs w:val="21"/>
                <w:vertAlign w:val="baseline"/>
                <w:lang w:val="en-US" w:eastAsia="zh-CN"/>
              </w:rPr>
              <w:t>1</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1"/>
                <w:szCs w:val="21"/>
                <w:vertAlign w:val="baseline"/>
                <w:lang w:val="en-US" w:eastAsia="zh-CN"/>
              </w:rPr>
            </w:pPr>
            <w:r>
              <w:rPr>
                <w:rFonts w:hint="eastAsia" w:ascii="仿宋" w:hAnsi="仿宋" w:eastAsia="仿宋" w:cs="Times New Roman"/>
                <w:b/>
                <w:bCs/>
                <w:sz w:val="21"/>
                <w:szCs w:val="21"/>
                <w:vertAlign w:val="baseline"/>
                <w:lang w:val="en-US" w:eastAsia="zh-CN"/>
              </w:rPr>
              <w:t>采血车</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1"/>
                <w:szCs w:val="21"/>
                <w:vertAlign w:val="baseline"/>
                <w:lang w:val="en-US" w:eastAsia="zh-CN"/>
              </w:rPr>
            </w:pPr>
            <w:r>
              <w:rPr>
                <w:rFonts w:hint="eastAsia" w:ascii="仿宋" w:hAnsi="仿宋" w:eastAsia="仿宋" w:cs="Times New Roman"/>
                <w:b/>
                <w:bCs/>
                <w:sz w:val="21"/>
                <w:szCs w:val="21"/>
                <w:vertAlign w:val="baseline"/>
                <w:lang w:val="en-US" w:eastAsia="zh-CN"/>
              </w:rPr>
              <w:t>辆</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Times New Roman"/>
                <w:b/>
                <w:bCs/>
                <w:sz w:val="21"/>
                <w:szCs w:val="21"/>
                <w:vertAlign w:val="baseline"/>
                <w:lang w:val="en-US" w:eastAsia="zh-CN"/>
              </w:rPr>
            </w:pPr>
            <w:r>
              <w:rPr>
                <w:rFonts w:hint="eastAsia" w:ascii="仿宋" w:hAnsi="仿宋" w:eastAsia="仿宋" w:cs="Times New Roman"/>
                <w:b/>
                <w:bCs/>
                <w:sz w:val="21"/>
                <w:szCs w:val="21"/>
                <w:vertAlign w:val="baseline"/>
                <w:lang w:val="en-US" w:eastAsia="zh-CN"/>
              </w:rPr>
              <w:t>1</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Times New Roman"/>
                <w:b/>
                <w:bCs/>
                <w:sz w:val="21"/>
                <w:szCs w:val="21"/>
                <w:vertAlign w:val="baseline"/>
                <w:lang w:val="en-US" w:eastAsia="zh-CN"/>
              </w:rPr>
            </w:pPr>
            <w:r>
              <w:rPr>
                <w:rFonts w:hint="eastAsia" w:ascii="仿宋" w:hAnsi="仿宋" w:eastAsia="仿宋" w:cs="Times New Roman"/>
                <w:b/>
                <w:bCs/>
                <w:sz w:val="21"/>
                <w:szCs w:val="21"/>
                <w:vertAlign w:val="baseline"/>
                <w:lang w:val="en-US" w:eastAsia="zh-CN"/>
              </w:rPr>
              <w:t>100万元</w:t>
            </w:r>
          </w:p>
        </w:tc>
        <w:tc>
          <w:tcPr>
            <w:tcW w:w="266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1、整车要求：知名品牌。</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2、整车规格：车身长度</w:t>
            </w:r>
            <w:r>
              <w:rPr>
                <w:rFonts w:hint="eastAsia" w:ascii="仿宋" w:hAnsi="仿宋" w:eastAsia="仿宋" w:cs="Times New Roman"/>
                <w:b/>
                <w:bCs/>
                <w:color w:val="auto"/>
                <w:sz w:val="21"/>
                <w:szCs w:val="21"/>
                <w:vertAlign w:val="baseline"/>
                <w:lang w:val="en-US" w:eastAsia="zh-CN"/>
              </w:rPr>
              <w:t>8-8.5</w:t>
            </w:r>
            <w:r>
              <w:rPr>
                <w:rFonts w:hint="default" w:ascii="仿宋" w:hAnsi="仿宋" w:eastAsia="仿宋" w:cs="Times New Roman"/>
                <w:b/>
                <w:bCs/>
                <w:color w:val="auto"/>
                <w:sz w:val="21"/>
                <w:szCs w:val="21"/>
                <w:vertAlign w:val="baseline"/>
                <w:lang w:val="en-US" w:eastAsia="zh-CN"/>
              </w:rPr>
              <w:t>米、车外宽不少于2.55米。油箱容积。</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3、锂电池或配发电机，发电机功率，且与车辆共用柴油，不另设发电机油箱。</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4、发动机：知名品牌。额定功率达到一定要求。</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5、底盘：离合器、变速器、缓速器、轮胎等。</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6、车身：车身结构和内饰</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7、车上设备：</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（1）配备专用设备（储血冰箱、水平离心机、采血秤、热合机等）</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（2）工作设施（采血台面、热合台面、工作人员座椅、采血椅、沙发、饮水机、微波炉、车载空调、独立柜式空调、收纳柜、抽屉、洗手池、照明、车窗帘等）</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8、生产要求：投标车辆必须为车辆生产厂家原厂生产且底盘生产及车辆改装必须在同一城市（采血车生产厂家出具承诺函原件并加盖公章</w:t>
            </w:r>
            <w:r>
              <w:rPr>
                <w:rFonts w:hint="eastAsia" w:ascii="仿宋" w:hAnsi="仿宋" w:eastAsia="仿宋" w:cs="Times New Roman"/>
                <w:b/>
                <w:bCs/>
                <w:color w:val="auto"/>
                <w:sz w:val="21"/>
                <w:szCs w:val="21"/>
                <w:vertAlign w:val="baseline"/>
                <w:lang w:val="en-US" w:eastAsia="zh-CN"/>
              </w:rPr>
              <w:t>）</w:t>
            </w:r>
            <w:r>
              <w:rPr>
                <w:rFonts w:hint="default" w:ascii="仿宋" w:hAnsi="仿宋" w:eastAsia="仿宋" w:cs="Times New Roman"/>
                <w:b/>
                <w:bCs/>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 w:hAnsi="仿宋" w:eastAsia="仿宋" w:cs="Times New Roman"/>
                <w:b/>
                <w:bCs/>
                <w:color w:val="auto"/>
                <w:sz w:val="21"/>
                <w:szCs w:val="21"/>
                <w:vertAlign w:val="baseline"/>
                <w:lang w:val="en-US" w:eastAsia="zh-CN"/>
              </w:rPr>
            </w:pPr>
            <w:r>
              <w:rPr>
                <w:rFonts w:hint="default" w:ascii="仿宋" w:hAnsi="仿宋" w:eastAsia="仿宋" w:cs="Times New Roman"/>
                <w:b/>
                <w:bCs/>
                <w:color w:val="auto"/>
                <w:sz w:val="21"/>
                <w:szCs w:val="21"/>
                <w:vertAlign w:val="baseline"/>
                <w:lang w:val="en-US" w:eastAsia="zh-CN"/>
              </w:rPr>
              <w:t>9、其他：隔离设施、护栏、售后服务、响应时效、质保期等。</w:t>
            </w:r>
          </w:p>
        </w:tc>
        <w:tc>
          <w:tcPr>
            <w:tcW w:w="1821"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Times New Roman"/>
                <w:b/>
                <w:bCs/>
                <w:sz w:val="21"/>
                <w:szCs w:val="21"/>
                <w:vertAlign w:val="baseline"/>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51F2A"/>
    <w:rsid w:val="4F451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2021-03-05T01:24:00Z</dcterms:created>
  <dc:creator>WPS</dc:creator>
  <cp:lastModifiedBy>WPS</cp:lastModifiedBy>
  <dcterms:modified xsi:type="dcterms:W3CDTF">2021-03-05T01:25:38Z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