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0"/>
          <w:szCs w:val="30"/>
          <w:lang w:val="en-US" w:eastAsia="zh-CN"/>
        </w:rPr>
        <w:t>南宁中心血站纪念品云仓服务基本情况及需求</w:t>
      </w:r>
      <w:bookmarkEnd w:id="0"/>
    </w:p>
    <w:tbl>
      <w:tblPr>
        <w:tblStyle w:val="4"/>
        <w:tblpPr w:leftFromText="180" w:rightFromText="180" w:vertAnchor="text" w:horzAnchor="page" w:tblpX="1466" w:tblpY="173"/>
        <w:tblOverlap w:val="never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125"/>
        <w:gridCol w:w="900"/>
        <w:gridCol w:w="1111"/>
        <w:gridCol w:w="1301"/>
        <w:gridCol w:w="266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计划采购数量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需求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南宁中心血站纪念品云仓服务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项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331.404万元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一、平台运行模式：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基于南宁中心血站微信公众号的线上管理平台，献血者通过扫码可浏览对应的服务内容并选择对应的纪念品。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二、提供一定数量和价格要求的纪念品。所有提供的纪念品需为价值且不低于市场价格的实物产品、虚拟物品（比如手机充值卡、当地超市购物卡、视频会员卡等）。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三、平台需满足商城实物产品的物流配送及提供物流信息的功能；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四、平台与血站业务系统、献血者献血信息相关联，献血者凭相关的献血信息或参加血站相关活动后可领取纪念品。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五、其他增值或延伸服务。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六、平台策划和开展相关的线上线下主题献血活动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七、血站作为平台的使用方，具有制定如积分规则、活动规则、领取规则等诉求的权限。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八、平台的网上商城需涵盖：当地超市购物卡（或电子券）、家居日用、个人洗护、数码配件、厨具餐具 、运动健康、生鲜果蔬、娱乐会员、食品、饮料、电商抵用券等。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九、物流配送需满足：下单后区内三天到货，国内（不包含偏远山区）五天到货。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十、平台支持机采血小板交通补助的发放。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10C48"/>
    <w:rsid w:val="224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2021-03-05T01:28:00Z</dcterms:created>
  <dc:creator>WPS</dc:creator>
  <cp:lastModifiedBy>WPS</cp:lastModifiedBy>
  <dcterms:modified xsi:type="dcterms:W3CDTF">2021-03-05T01:29:02Z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